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E56C0" w14:textId="1570E1B8" w:rsidR="00B14D25" w:rsidRDefault="00DD3F52" w:rsidP="00B14D25">
      <w:pPr>
        <w:pStyle w:val="Header"/>
        <w:rPr>
          <w:rFonts w:ascii="Times New Roman" w:hAnsi="Times New Roman" w:cs="Times New Roman"/>
          <w:sz w:val="28"/>
          <w:szCs w:val="28"/>
        </w:rPr>
      </w:pPr>
      <w:r>
        <w:rPr>
          <w:rFonts w:ascii="Times New Roman" w:hAnsi="Times New Roman" w:cs="Times New Roman"/>
          <w:sz w:val="36"/>
          <w:szCs w:val="36"/>
        </w:rPr>
        <w:tab/>
      </w:r>
      <w:r w:rsidR="00F9365E" w:rsidRPr="00DD3F52">
        <w:rPr>
          <w:rFonts w:ascii="Times New Roman" w:hAnsi="Times New Roman" w:cs="Times New Roman"/>
          <w:sz w:val="28"/>
          <w:szCs w:val="28"/>
        </w:rPr>
        <w:t>JUDICIAL COMMITTEE REPORT</w:t>
      </w:r>
      <w:r w:rsidR="00F03DDD">
        <w:rPr>
          <w:rFonts w:ascii="Times New Roman" w:hAnsi="Times New Roman" w:cs="Times New Roman"/>
          <w:sz w:val="28"/>
          <w:szCs w:val="28"/>
        </w:rPr>
        <w:t xml:space="preserve"> –</w:t>
      </w:r>
      <w:r w:rsidR="004C0BEB">
        <w:rPr>
          <w:rFonts w:ascii="Times New Roman" w:hAnsi="Times New Roman" w:cs="Times New Roman"/>
          <w:sz w:val="28"/>
          <w:szCs w:val="28"/>
        </w:rPr>
        <w:t xml:space="preserve"> February 12</w:t>
      </w:r>
      <w:r w:rsidR="005C5C0E">
        <w:rPr>
          <w:rFonts w:ascii="Times New Roman" w:hAnsi="Times New Roman" w:cs="Times New Roman"/>
          <w:sz w:val="28"/>
          <w:szCs w:val="28"/>
        </w:rPr>
        <w:t>,</w:t>
      </w:r>
      <w:r w:rsidR="00201F29">
        <w:rPr>
          <w:rFonts w:ascii="Times New Roman" w:hAnsi="Times New Roman" w:cs="Times New Roman"/>
          <w:sz w:val="28"/>
          <w:szCs w:val="28"/>
        </w:rPr>
        <w:t xml:space="preserve"> 202</w:t>
      </w:r>
      <w:r w:rsidR="004C0BEB">
        <w:rPr>
          <w:rFonts w:ascii="Times New Roman" w:hAnsi="Times New Roman" w:cs="Times New Roman"/>
          <w:sz w:val="28"/>
          <w:szCs w:val="28"/>
        </w:rPr>
        <w:t>4</w:t>
      </w:r>
    </w:p>
    <w:p w14:paraId="5F0DB811" w14:textId="25361142" w:rsidR="000E4223" w:rsidRDefault="000E4223" w:rsidP="000E4223">
      <w:pPr>
        <w:rPr>
          <w:rFonts w:ascii="Times New Roman" w:hAnsi="Times New Roman" w:cs="Times New Roman"/>
          <w:iCs/>
          <w:sz w:val="22"/>
          <w:szCs w:val="22"/>
        </w:rPr>
      </w:pPr>
    </w:p>
    <w:p w14:paraId="44BE21A7" w14:textId="341952E1" w:rsidR="000E4223" w:rsidRPr="008674DF" w:rsidRDefault="000E4223" w:rsidP="000E4223">
      <w:pPr>
        <w:rPr>
          <w:rFonts w:ascii="Times New Roman" w:hAnsi="Times New Roman" w:cs="Times New Roman"/>
          <w:i/>
          <w:iCs/>
          <w:sz w:val="22"/>
          <w:szCs w:val="22"/>
        </w:rPr>
      </w:pPr>
      <w:r>
        <w:rPr>
          <w:rFonts w:ascii="Times New Roman" w:hAnsi="Times New Roman" w:cs="Times New Roman"/>
          <w:i/>
          <w:iCs/>
          <w:sz w:val="22"/>
          <w:szCs w:val="22"/>
        </w:rPr>
        <w:t>1</w:t>
      </w:r>
      <w:r w:rsidRPr="008674DF">
        <w:rPr>
          <w:rFonts w:ascii="Times New Roman" w:hAnsi="Times New Roman" w:cs="Times New Roman"/>
          <w:i/>
          <w:iCs/>
          <w:sz w:val="22"/>
          <w:szCs w:val="22"/>
        </w:rPr>
        <w:t>.</w:t>
      </w:r>
      <w:r w:rsidRPr="008674DF">
        <w:rPr>
          <w:rFonts w:ascii="Times New Roman" w:hAnsi="Times New Roman" w:cs="Times New Roman"/>
          <w:i/>
          <w:iCs/>
          <w:sz w:val="22"/>
          <w:szCs w:val="22"/>
        </w:rPr>
        <w:tab/>
      </w:r>
      <w:r>
        <w:rPr>
          <w:rFonts w:ascii="Times New Roman" w:hAnsi="Times New Roman" w:cs="Times New Roman"/>
          <w:i/>
          <w:iCs/>
          <w:sz w:val="22"/>
          <w:szCs w:val="22"/>
        </w:rPr>
        <w:t xml:space="preserve">Amicus Brief Request </w:t>
      </w:r>
      <w:r w:rsidR="007071D6">
        <w:rPr>
          <w:rFonts w:ascii="Times New Roman" w:hAnsi="Times New Roman" w:cs="Times New Roman"/>
          <w:i/>
          <w:iCs/>
          <w:sz w:val="22"/>
          <w:szCs w:val="22"/>
        </w:rPr>
        <w:t>–</w:t>
      </w:r>
      <w:r>
        <w:rPr>
          <w:rFonts w:ascii="Times New Roman" w:hAnsi="Times New Roman" w:cs="Times New Roman"/>
          <w:i/>
          <w:iCs/>
          <w:sz w:val="22"/>
          <w:szCs w:val="22"/>
        </w:rPr>
        <w:t xml:space="preserve"> </w:t>
      </w:r>
      <w:r w:rsidR="007071D6">
        <w:rPr>
          <w:rFonts w:ascii="Times New Roman" w:hAnsi="Times New Roman" w:cs="Times New Roman"/>
          <w:i/>
          <w:iCs/>
          <w:sz w:val="22"/>
          <w:szCs w:val="22"/>
        </w:rPr>
        <w:t>Jordan McCullough v. Mark Anderson, Thurston County Superior Court Case No. 21-2-01708-34.</w:t>
      </w:r>
      <w:r>
        <w:rPr>
          <w:rFonts w:ascii="Times New Roman" w:hAnsi="Times New Roman" w:cs="Times New Roman"/>
          <w:i/>
          <w:iCs/>
          <w:sz w:val="22"/>
          <w:szCs w:val="22"/>
        </w:rPr>
        <w:t xml:space="preserve">. </w:t>
      </w:r>
    </w:p>
    <w:p w14:paraId="4D1DEFCA" w14:textId="77777777" w:rsidR="000E4223" w:rsidRDefault="000E4223" w:rsidP="000E4223">
      <w:pPr>
        <w:rPr>
          <w:rFonts w:ascii="Times New Roman" w:hAnsi="Times New Roman" w:cs="Times New Roman"/>
          <w:sz w:val="22"/>
          <w:szCs w:val="22"/>
        </w:rPr>
      </w:pPr>
    </w:p>
    <w:p w14:paraId="6E24B986" w14:textId="713A86DA" w:rsidR="000E4223" w:rsidRDefault="007071D6" w:rsidP="000E4223">
      <w:pPr>
        <w:rPr>
          <w:rFonts w:ascii="Times New Roman" w:hAnsi="Times New Roman" w:cs="Times New Roman"/>
          <w:iCs/>
          <w:sz w:val="22"/>
          <w:szCs w:val="22"/>
        </w:rPr>
      </w:pPr>
      <w:r>
        <w:rPr>
          <w:rFonts w:ascii="Times New Roman" w:eastAsiaTheme="minorHAnsi" w:hAnsi="Times New Roman" w:cs="Times New Roman"/>
          <w:sz w:val="22"/>
          <w:szCs w:val="22"/>
        </w:rPr>
        <w:t xml:space="preserve">This </w:t>
      </w:r>
      <w:r w:rsidR="0024581C">
        <w:rPr>
          <w:rFonts w:ascii="Times New Roman" w:eastAsiaTheme="minorHAnsi" w:hAnsi="Times New Roman" w:cs="Times New Roman"/>
          <w:sz w:val="22"/>
          <w:szCs w:val="22"/>
        </w:rPr>
        <w:t xml:space="preserve">case involves </w:t>
      </w:r>
      <w:r>
        <w:rPr>
          <w:rFonts w:ascii="Times New Roman" w:eastAsiaTheme="minorHAnsi" w:hAnsi="Times New Roman" w:cs="Times New Roman"/>
          <w:sz w:val="22"/>
          <w:szCs w:val="22"/>
        </w:rPr>
        <w:t xml:space="preserve">a dispute about the interpretation of an easement.  The question is whether the </w:t>
      </w:r>
      <w:r w:rsidR="0024581C">
        <w:rPr>
          <w:rFonts w:ascii="Times New Roman" w:eastAsiaTheme="minorHAnsi" w:hAnsi="Times New Roman" w:cs="Times New Roman"/>
          <w:sz w:val="22"/>
          <w:szCs w:val="22"/>
        </w:rPr>
        <w:t xml:space="preserve">subject </w:t>
      </w:r>
      <w:r>
        <w:rPr>
          <w:rFonts w:ascii="Times New Roman" w:eastAsiaTheme="minorHAnsi" w:hAnsi="Times New Roman" w:cs="Times New Roman"/>
          <w:sz w:val="22"/>
          <w:szCs w:val="22"/>
        </w:rPr>
        <w:t>easement, which provide</w:t>
      </w:r>
      <w:r w:rsidR="0024581C">
        <w:rPr>
          <w:rFonts w:ascii="Times New Roman" w:eastAsiaTheme="minorHAnsi" w:hAnsi="Times New Roman" w:cs="Times New Roman"/>
          <w:sz w:val="22"/>
          <w:szCs w:val="22"/>
        </w:rPr>
        <w:t>s</w:t>
      </w:r>
      <w:r>
        <w:rPr>
          <w:rFonts w:ascii="Times New Roman" w:eastAsiaTheme="minorHAnsi" w:hAnsi="Times New Roman" w:cs="Times New Roman"/>
          <w:sz w:val="22"/>
          <w:szCs w:val="22"/>
        </w:rPr>
        <w:t xml:space="preserve"> the dominant estate with exclusive use, precluded the servient owner from using it too.  </w:t>
      </w:r>
      <w:r w:rsidR="0024581C">
        <w:rPr>
          <w:rFonts w:ascii="Times New Roman" w:eastAsiaTheme="minorHAnsi" w:hAnsi="Times New Roman" w:cs="Times New Roman"/>
          <w:sz w:val="22"/>
          <w:szCs w:val="22"/>
        </w:rPr>
        <w:t xml:space="preserve">Because title insurance policies generally do not cover easement interpretation, the Judicial Committee declined the request for an amicus brief.  </w:t>
      </w:r>
    </w:p>
    <w:p w14:paraId="7C4D8397" w14:textId="77777777" w:rsidR="000E4223" w:rsidRDefault="000E4223" w:rsidP="000E4223">
      <w:pPr>
        <w:rPr>
          <w:rFonts w:ascii="Times New Roman" w:hAnsi="Times New Roman" w:cs="Times New Roman"/>
          <w:iCs/>
          <w:sz w:val="22"/>
          <w:szCs w:val="22"/>
        </w:rPr>
      </w:pPr>
    </w:p>
    <w:p w14:paraId="2DA03558" w14:textId="69253431" w:rsidR="00234CC8" w:rsidRPr="00DD3F52" w:rsidRDefault="000E4223" w:rsidP="00234CC8">
      <w:pPr>
        <w:rPr>
          <w:rFonts w:ascii="Times New Roman" w:hAnsi="Times New Roman" w:cs="Times New Roman"/>
          <w:sz w:val="22"/>
          <w:szCs w:val="22"/>
        </w:rPr>
      </w:pPr>
      <w:r>
        <w:rPr>
          <w:rFonts w:ascii="Times New Roman" w:hAnsi="Times New Roman" w:cs="Times New Roman"/>
          <w:i/>
          <w:sz w:val="22"/>
          <w:szCs w:val="22"/>
        </w:rPr>
        <w:t>2</w:t>
      </w:r>
      <w:r w:rsidR="00201F29">
        <w:rPr>
          <w:rFonts w:ascii="Times New Roman" w:hAnsi="Times New Roman" w:cs="Times New Roman"/>
          <w:i/>
          <w:sz w:val="22"/>
          <w:szCs w:val="22"/>
        </w:rPr>
        <w:t>.</w:t>
      </w:r>
      <w:r w:rsidR="00201F29">
        <w:rPr>
          <w:rFonts w:ascii="Times New Roman" w:hAnsi="Times New Roman" w:cs="Times New Roman"/>
          <w:i/>
          <w:sz w:val="22"/>
          <w:szCs w:val="22"/>
        </w:rPr>
        <w:tab/>
      </w:r>
      <w:r w:rsidR="004C0BEB">
        <w:rPr>
          <w:rFonts w:ascii="Times New Roman" w:hAnsi="Times New Roman" w:cs="Times New Roman"/>
          <w:i/>
          <w:sz w:val="22"/>
          <w:szCs w:val="22"/>
        </w:rPr>
        <w:t>Velazquez Framing LLC v. Cascadia Homes, Inc., 2024 WL 118484 (Jan. 11, 2024)</w:t>
      </w:r>
    </w:p>
    <w:p w14:paraId="762B3F91" w14:textId="77777777" w:rsidR="00234CC8" w:rsidRPr="00DD3F52" w:rsidRDefault="00234CC8" w:rsidP="00234CC8">
      <w:pPr>
        <w:rPr>
          <w:rFonts w:ascii="Times New Roman" w:hAnsi="Times New Roman" w:cs="Times New Roman"/>
          <w:sz w:val="22"/>
          <w:szCs w:val="22"/>
        </w:rPr>
      </w:pPr>
    </w:p>
    <w:p w14:paraId="45E0AEF7" w14:textId="570E62FE" w:rsidR="00E851A0" w:rsidRDefault="004C0BEB" w:rsidP="002F62CB">
      <w:pPr>
        <w:rPr>
          <w:rFonts w:ascii="Times New Roman" w:hAnsi="Times New Roman" w:cs="Times New Roman"/>
          <w:sz w:val="22"/>
          <w:szCs w:val="22"/>
        </w:rPr>
      </w:pPr>
      <w:r>
        <w:rPr>
          <w:rFonts w:ascii="Times New Roman" w:hAnsi="Times New Roman" w:cs="Times New Roman"/>
          <w:sz w:val="22"/>
          <w:szCs w:val="22"/>
        </w:rPr>
        <w:t>The Washington Supreme Court reversed the Court of Appeals holding that Velazquez Framing did not need a pre-lien notice for labor and remanded to the lower court to determine how much of the lien at issue was attributable to labor as opposed to materials</w:t>
      </w:r>
      <w:r w:rsidR="001B59FC">
        <w:rPr>
          <w:rFonts w:ascii="Times New Roman" w:hAnsi="Times New Roman" w:cs="Times New Roman"/>
          <w:sz w:val="22"/>
          <w:szCs w:val="22"/>
        </w:rPr>
        <w:t xml:space="preserve"> and equipment</w:t>
      </w:r>
      <w:r>
        <w:rPr>
          <w:rFonts w:ascii="Times New Roman" w:hAnsi="Times New Roman" w:cs="Times New Roman"/>
          <w:sz w:val="22"/>
          <w:szCs w:val="22"/>
        </w:rPr>
        <w:t xml:space="preserve">.  </w:t>
      </w:r>
      <w:r w:rsidRPr="004C0BEB">
        <w:rPr>
          <w:rFonts w:ascii="Times New Roman" w:hAnsi="Times New Roman" w:cs="Times New Roman"/>
          <w:i/>
          <w:iCs/>
          <w:sz w:val="22"/>
          <w:szCs w:val="22"/>
        </w:rPr>
        <w:t>See</w:t>
      </w:r>
      <w:r>
        <w:rPr>
          <w:rFonts w:ascii="Times New Roman" w:hAnsi="Times New Roman" w:cs="Times New Roman"/>
          <w:sz w:val="22"/>
          <w:szCs w:val="22"/>
        </w:rPr>
        <w:t xml:space="preserve">, 2023 Judicial Committee Annual Report, Case No. 1, which reported on the Court of Appeals’ decision.   </w:t>
      </w:r>
    </w:p>
    <w:p w14:paraId="7B87170D" w14:textId="088C373A" w:rsidR="004C0BEB" w:rsidRDefault="004C0BEB" w:rsidP="002F62CB">
      <w:pPr>
        <w:rPr>
          <w:rFonts w:ascii="Times New Roman" w:hAnsi="Times New Roman" w:cs="Times New Roman"/>
          <w:sz w:val="22"/>
          <w:szCs w:val="22"/>
        </w:rPr>
      </w:pPr>
    </w:p>
    <w:p w14:paraId="062F55F6" w14:textId="154E7688" w:rsidR="004C0BEB" w:rsidRDefault="004C0BEB" w:rsidP="002F62CB">
      <w:pPr>
        <w:rPr>
          <w:rFonts w:ascii="Times New Roman" w:hAnsi="Times New Roman" w:cs="Times New Roman"/>
          <w:sz w:val="22"/>
          <w:szCs w:val="22"/>
        </w:rPr>
      </w:pPr>
      <w:r>
        <w:rPr>
          <w:rFonts w:ascii="Times New Roman" w:hAnsi="Times New Roman" w:cs="Times New Roman"/>
          <w:sz w:val="22"/>
          <w:szCs w:val="22"/>
        </w:rPr>
        <w:t xml:space="preserve">Recall that </w:t>
      </w:r>
      <w:r w:rsidRPr="008008F0">
        <w:rPr>
          <w:rFonts w:ascii="Times New Roman" w:eastAsia="Times New Roman" w:hAnsi="Times New Roman" w:cs="Times New Roman"/>
          <w:color w:val="000000"/>
          <w:sz w:val="22"/>
          <w:szCs w:val="22"/>
        </w:rPr>
        <w:t xml:space="preserve">Cascadia </w:t>
      </w:r>
      <w:r>
        <w:rPr>
          <w:rFonts w:ascii="Times New Roman" w:eastAsia="Times New Roman" w:hAnsi="Times New Roman" w:cs="Times New Roman"/>
          <w:color w:val="000000"/>
          <w:sz w:val="22"/>
          <w:szCs w:val="22"/>
        </w:rPr>
        <w:t xml:space="preserve">Homes </w:t>
      </w:r>
      <w:r w:rsidRPr="008008F0">
        <w:rPr>
          <w:rFonts w:ascii="Times New Roman" w:eastAsia="Times New Roman" w:hAnsi="Times New Roman" w:cs="Times New Roman"/>
          <w:color w:val="000000"/>
          <w:sz w:val="22"/>
          <w:szCs w:val="22"/>
        </w:rPr>
        <w:t>is a general contractor</w:t>
      </w:r>
      <w:r>
        <w:rPr>
          <w:rFonts w:ascii="Times New Roman" w:eastAsia="Times New Roman" w:hAnsi="Times New Roman" w:cs="Times New Roman"/>
          <w:color w:val="000000"/>
          <w:sz w:val="22"/>
          <w:szCs w:val="22"/>
        </w:rPr>
        <w:t xml:space="preserve"> and hired </w:t>
      </w:r>
      <w:r w:rsidRPr="008008F0">
        <w:rPr>
          <w:rFonts w:ascii="Times New Roman" w:eastAsia="Times New Roman" w:hAnsi="Times New Roman" w:cs="Times New Roman"/>
          <w:color w:val="000000"/>
          <w:sz w:val="22"/>
          <w:szCs w:val="22"/>
        </w:rPr>
        <w:t xml:space="preserve">High End Construction </w:t>
      </w:r>
      <w:r>
        <w:rPr>
          <w:rFonts w:ascii="Times New Roman" w:eastAsia="Times New Roman" w:hAnsi="Times New Roman" w:cs="Times New Roman"/>
          <w:color w:val="000000"/>
          <w:sz w:val="22"/>
          <w:szCs w:val="22"/>
        </w:rPr>
        <w:t xml:space="preserve">(“High End”) </w:t>
      </w:r>
      <w:r w:rsidRPr="008008F0">
        <w:rPr>
          <w:rFonts w:ascii="Times New Roman" w:eastAsia="Times New Roman" w:hAnsi="Times New Roman" w:cs="Times New Roman"/>
          <w:color w:val="000000"/>
          <w:sz w:val="22"/>
          <w:szCs w:val="22"/>
        </w:rPr>
        <w:t>for the framing</w:t>
      </w:r>
      <w:r>
        <w:rPr>
          <w:rFonts w:ascii="Times New Roman" w:eastAsia="Times New Roman" w:hAnsi="Times New Roman" w:cs="Times New Roman"/>
          <w:color w:val="000000"/>
          <w:sz w:val="22"/>
          <w:szCs w:val="22"/>
        </w:rPr>
        <w:t xml:space="preserve">.  High End </w:t>
      </w:r>
      <w:r w:rsidRPr="008008F0">
        <w:rPr>
          <w:rFonts w:ascii="Times New Roman" w:eastAsia="Times New Roman" w:hAnsi="Times New Roman" w:cs="Times New Roman"/>
          <w:color w:val="000000"/>
          <w:sz w:val="22"/>
          <w:szCs w:val="22"/>
        </w:rPr>
        <w:t xml:space="preserve">orally agreed with Velazquez </w:t>
      </w:r>
      <w:r>
        <w:rPr>
          <w:rFonts w:ascii="Times New Roman" w:eastAsia="Times New Roman" w:hAnsi="Times New Roman" w:cs="Times New Roman"/>
          <w:color w:val="000000"/>
          <w:sz w:val="22"/>
          <w:szCs w:val="22"/>
        </w:rPr>
        <w:t xml:space="preserve">Framing (“Velazquez”) </w:t>
      </w:r>
      <w:r w:rsidRPr="008008F0">
        <w:rPr>
          <w:rFonts w:ascii="Times New Roman" w:eastAsia="Times New Roman" w:hAnsi="Times New Roman" w:cs="Times New Roman"/>
          <w:color w:val="000000"/>
          <w:sz w:val="22"/>
          <w:szCs w:val="22"/>
        </w:rPr>
        <w:t xml:space="preserve">to complete the framing, unbeknownst to Cascadia. Velazquez worked from Oct 15-Nov 1, 2019. </w:t>
      </w:r>
      <w:r>
        <w:rPr>
          <w:rFonts w:ascii="Times New Roman" w:eastAsia="Times New Roman" w:hAnsi="Times New Roman" w:cs="Times New Roman"/>
          <w:color w:val="000000"/>
          <w:sz w:val="22"/>
          <w:szCs w:val="22"/>
        </w:rPr>
        <w:t xml:space="preserve"> Cascadia paid High End in October and November.  High End did not pay Velazquez.  </w:t>
      </w:r>
      <w:r w:rsidRPr="008008F0">
        <w:rPr>
          <w:rFonts w:ascii="Times New Roman" w:eastAsia="Times New Roman" w:hAnsi="Times New Roman" w:cs="Times New Roman"/>
          <w:color w:val="000000"/>
          <w:spacing w:val="-1"/>
          <w:sz w:val="22"/>
          <w:szCs w:val="22"/>
        </w:rPr>
        <w:t>Velazquez invoiced Cascadia in October and contacted</w:t>
      </w:r>
      <w:r>
        <w:rPr>
          <w:rFonts w:ascii="Times New Roman" w:eastAsia="Times New Roman" w:hAnsi="Times New Roman" w:cs="Times New Roman"/>
          <w:color w:val="000000"/>
          <w:spacing w:val="-1"/>
          <w:sz w:val="22"/>
          <w:szCs w:val="22"/>
        </w:rPr>
        <w:t xml:space="preserve"> it</w:t>
      </w:r>
      <w:r w:rsidRPr="008008F0">
        <w:rPr>
          <w:rFonts w:ascii="Times New Roman" w:eastAsia="Times New Roman" w:hAnsi="Times New Roman" w:cs="Times New Roman"/>
          <w:color w:val="000000"/>
          <w:spacing w:val="-1"/>
          <w:sz w:val="22"/>
          <w:szCs w:val="22"/>
        </w:rPr>
        <w:t xml:space="preserve"> seeking payment</w:t>
      </w:r>
      <w:r>
        <w:rPr>
          <w:rFonts w:ascii="Times New Roman" w:eastAsia="Times New Roman" w:hAnsi="Times New Roman" w:cs="Times New Roman"/>
          <w:color w:val="000000"/>
          <w:spacing w:val="-1"/>
          <w:sz w:val="22"/>
          <w:szCs w:val="22"/>
        </w:rPr>
        <w:t xml:space="preserve"> but Cascadia did not pay.  </w:t>
      </w:r>
      <w:r w:rsidRPr="008008F0">
        <w:rPr>
          <w:rFonts w:ascii="Times New Roman" w:eastAsia="Times New Roman" w:hAnsi="Times New Roman" w:cs="Times New Roman"/>
          <w:color w:val="000000"/>
          <w:spacing w:val="-1"/>
          <w:sz w:val="22"/>
          <w:szCs w:val="22"/>
        </w:rPr>
        <w:t xml:space="preserve">In January 2020, Velazquez filed a lien and followed up with a complaint in September 2020. </w:t>
      </w:r>
      <w:r>
        <w:rPr>
          <w:rFonts w:ascii="Times New Roman" w:eastAsia="Times New Roman" w:hAnsi="Times New Roman" w:cs="Times New Roman"/>
          <w:color w:val="000000"/>
          <w:spacing w:val="-1"/>
          <w:sz w:val="22"/>
          <w:szCs w:val="22"/>
        </w:rPr>
        <w:t xml:space="preserve"> There was no evidence that Velazquez gave any prelien notice to Cascadia.</w:t>
      </w:r>
      <w:r>
        <w:rPr>
          <w:rFonts w:ascii="Times New Roman" w:hAnsi="Times New Roman" w:cs="Times New Roman"/>
          <w:sz w:val="22"/>
          <w:szCs w:val="22"/>
        </w:rPr>
        <w:t xml:space="preserve"> </w:t>
      </w:r>
    </w:p>
    <w:p w14:paraId="7E25F773" w14:textId="1192F1E3" w:rsidR="004C0BEB" w:rsidRDefault="004C0BEB" w:rsidP="002F62CB">
      <w:pPr>
        <w:rPr>
          <w:rFonts w:ascii="Times New Roman" w:hAnsi="Times New Roman" w:cs="Times New Roman"/>
          <w:sz w:val="22"/>
          <w:szCs w:val="22"/>
        </w:rPr>
      </w:pPr>
    </w:p>
    <w:p w14:paraId="4D5655B9" w14:textId="1EDAF907" w:rsidR="004C0BEB" w:rsidRDefault="004C0BEB" w:rsidP="002F62CB">
      <w:pPr>
        <w:rPr>
          <w:rFonts w:ascii="Times New Roman" w:hAnsi="Times New Roman" w:cs="Times New Roman"/>
          <w:sz w:val="22"/>
          <w:szCs w:val="22"/>
        </w:rPr>
      </w:pPr>
      <w:r>
        <w:rPr>
          <w:rFonts w:ascii="Times New Roman" w:hAnsi="Times New Roman" w:cs="Times New Roman"/>
          <w:sz w:val="22"/>
          <w:szCs w:val="22"/>
        </w:rPr>
        <w:t xml:space="preserve">Velazquez ultimately prevailed in its argument that </w:t>
      </w:r>
      <w:r w:rsidR="001B59FC" w:rsidRPr="008008F0">
        <w:rPr>
          <w:rFonts w:ascii="Times New Roman" w:eastAsia="Times New Roman" w:hAnsi="Times New Roman" w:cs="Times New Roman"/>
          <w:color w:val="000000"/>
          <w:sz w:val="22"/>
          <w:szCs w:val="22"/>
        </w:rPr>
        <w:t>RCW 60.04.031(2) provides an exception to the prelien notice for</w:t>
      </w:r>
      <w:r w:rsidR="001B59FC">
        <w:rPr>
          <w:rFonts w:ascii="Times New Roman" w:eastAsia="Times New Roman" w:hAnsi="Times New Roman" w:cs="Times New Roman"/>
          <w:color w:val="000000"/>
          <w:sz w:val="22"/>
          <w:szCs w:val="22"/>
        </w:rPr>
        <w:t xml:space="preserve"> p</w:t>
      </w:r>
      <w:r w:rsidR="001B59FC" w:rsidRPr="008008F0">
        <w:rPr>
          <w:rFonts w:ascii="Times New Roman" w:eastAsia="Times New Roman" w:hAnsi="Times New Roman" w:cs="Times New Roman"/>
          <w:color w:val="000000"/>
          <w:sz w:val="22"/>
          <w:szCs w:val="22"/>
        </w:rPr>
        <w:t>arties contracting directly with the owner or owner’s common law agent</w:t>
      </w:r>
      <w:r w:rsidR="001B59FC">
        <w:rPr>
          <w:rFonts w:ascii="Times New Roman" w:eastAsia="Times New Roman" w:hAnsi="Times New Roman" w:cs="Times New Roman"/>
          <w:color w:val="000000"/>
          <w:sz w:val="22"/>
          <w:szCs w:val="22"/>
        </w:rPr>
        <w:t xml:space="preserve">, </w:t>
      </w:r>
      <w:r w:rsidR="001B59FC" w:rsidRPr="001B59FC">
        <w:rPr>
          <w:rFonts w:ascii="Times New Roman" w:eastAsia="Times New Roman" w:hAnsi="Times New Roman" w:cs="Times New Roman"/>
          <w:i/>
          <w:iCs/>
          <w:color w:val="000000"/>
          <w:sz w:val="22"/>
          <w:szCs w:val="22"/>
        </w:rPr>
        <w:t>laborers whose claim of lien is based solely on labor</w:t>
      </w:r>
      <w:r w:rsidR="001B59FC">
        <w:rPr>
          <w:rFonts w:ascii="Times New Roman" w:eastAsia="Times New Roman" w:hAnsi="Times New Roman" w:cs="Times New Roman"/>
          <w:color w:val="000000"/>
          <w:sz w:val="22"/>
          <w:szCs w:val="22"/>
        </w:rPr>
        <w:t>, or s</w:t>
      </w:r>
      <w:r w:rsidR="001B59FC" w:rsidRPr="008008F0">
        <w:rPr>
          <w:rFonts w:ascii="Times New Roman" w:eastAsia="Times New Roman" w:hAnsi="Times New Roman" w:cs="Times New Roman"/>
          <w:color w:val="000000"/>
          <w:sz w:val="22"/>
          <w:szCs w:val="22"/>
        </w:rPr>
        <w:t>ubcontractors who contract directly with the contractor</w:t>
      </w:r>
      <w:r w:rsidR="001B59FC">
        <w:rPr>
          <w:rFonts w:ascii="Times New Roman" w:eastAsia="Times New Roman" w:hAnsi="Times New Roman" w:cs="Times New Roman"/>
          <w:color w:val="000000"/>
          <w:sz w:val="22"/>
          <w:szCs w:val="22"/>
        </w:rPr>
        <w:t xml:space="preserve"> (emphasis added)</w:t>
      </w:r>
      <w:r w:rsidR="001B59FC">
        <w:rPr>
          <w:rFonts w:ascii="Times New Roman" w:eastAsia="Times New Roman" w:hAnsi="Times New Roman" w:cs="Times New Roman"/>
          <w:color w:val="000000"/>
          <w:sz w:val="22"/>
          <w:szCs w:val="22"/>
        </w:rPr>
        <w:t xml:space="preserve">. </w:t>
      </w:r>
      <w:r w:rsidR="001B59FC">
        <w:rPr>
          <w:rFonts w:ascii="Times New Roman" w:eastAsia="Times New Roman" w:hAnsi="Times New Roman" w:cs="Times New Roman"/>
          <w:color w:val="000000"/>
          <w:sz w:val="22"/>
          <w:szCs w:val="22"/>
        </w:rPr>
        <w:t xml:space="preserve"> The Court held that the prelien notice requirement under RCW 60.04.031(1) and the exception in subsection (2) meant that Velazquez could enforce its lien for labor, despite not providing notice, so long as the subcontractor could provide evidence to segregate the value of the labor from the value of the materials and equipment.</w:t>
      </w:r>
      <w:r w:rsidR="001B59FC">
        <w:rPr>
          <w:rFonts w:ascii="Times New Roman" w:eastAsia="Times New Roman" w:hAnsi="Times New Roman" w:cs="Times New Roman"/>
          <w:color w:val="000000"/>
          <w:sz w:val="22"/>
          <w:szCs w:val="22"/>
        </w:rPr>
        <w:t xml:space="preserve"> </w:t>
      </w:r>
    </w:p>
    <w:p w14:paraId="0CCFFBCB" w14:textId="77777777" w:rsidR="004C0BEB" w:rsidRDefault="004C0BEB" w:rsidP="002F62CB">
      <w:pPr>
        <w:rPr>
          <w:rFonts w:ascii="Times New Roman" w:hAnsi="Times New Roman" w:cs="Times New Roman"/>
          <w:sz w:val="22"/>
          <w:szCs w:val="22"/>
        </w:rPr>
      </w:pPr>
    </w:p>
    <w:p w14:paraId="0AEACA38" w14:textId="038B3B14" w:rsidR="008674DF" w:rsidRPr="008674DF" w:rsidRDefault="000E4223" w:rsidP="00F43A8C">
      <w:pPr>
        <w:rPr>
          <w:rFonts w:ascii="Times New Roman" w:hAnsi="Times New Roman" w:cs="Times New Roman"/>
          <w:i/>
          <w:iCs/>
          <w:sz w:val="22"/>
          <w:szCs w:val="22"/>
        </w:rPr>
      </w:pPr>
      <w:r>
        <w:rPr>
          <w:rFonts w:ascii="Times New Roman" w:hAnsi="Times New Roman" w:cs="Times New Roman"/>
          <w:i/>
          <w:iCs/>
          <w:sz w:val="22"/>
          <w:szCs w:val="22"/>
        </w:rPr>
        <w:t>3</w:t>
      </w:r>
      <w:r w:rsidR="008674DF" w:rsidRPr="008674DF">
        <w:rPr>
          <w:rFonts w:ascii="Times New Roman" w:hAnsi="Times New Roman" w:cs="Times New Roman"/>
          <w:i/>
          <w:iCs/>
          <w:sz w:val="22"/>
          <w:szCs w:val="22"/>
        </w:rPr>
        <w:t>.</w:t>
      </w:r>
      <w:r w:rsidR="008674DF" w:rsidRPr="008674DF">
        <w:rPr>
          <w:rFonts w:ascii="Times New Roman" w:hAnsi="Times New Roman" w:cs="Times New Roman"/>
          <w:i/>
          <w:iCs/>
          <w:sz w:val="22"/>
          <w:szCs w:val="22"/>
        </w:rPr>
        <w:tab/>
      </w:r>
      <w:r>
        <w:rPr>
          <w:rFonts w:ascii="Times New Roman" w:hAnsi="Times New Roman" w:cs="Times New Roman"/>
          <w:i/>
          <w:iCs/>
          <w:sz w:val="22"/>
          <w:szCs w:val="22"/>
        </w:rPr>
        <w:t>King County v. Michael J. Abernathy, et al., 2024 WL 271274 (Jan. 25, 2024)</w:t>
      </w:r>
      <w:r w:rsidR="00D82E65">
        <w:rPr>
          <w:rFonts w:ascii="Times New Roman" w:hAnsi="Times New Roman" w:cs="Times New Roman"/>
          <w:i/>
          <w:iCs/>
          <w:sz w:val="22"/>
          <w:szCs w:val="22"/>
        </w:rPr>
        <w:t xml:space="preserve"> </w:t>
      </w:r>
    </w:p>
    <w:p w14:paraId="2F675994" w14:textId="2AE44C6C" w:rsidR="008674DF" w:rsidRDefault="008674DF" w:rsidP="00F43A8C">
      <w:pPr>
        <w:rPr>
          <w:rFonts w:ascii="Times New Roman" w:hAnsi="Times New Roman" w:cs="Times New Roman"/>
          <w:sz w:val="22"/>
          <w:szCs w:val="22"/>
        </w:rPr>
      </w:pPr>
    </w:p>
    <w:p w14:paraId="53217261" w14:textId="1B525AEB" w:rsidR="007071D6" w:rsidRDefault="007071D6" w:rsidP="00F9727A">
      <w:pPr>
        <w:rPr>
          <w:rFonts w:ascii="Times New Roman" w:eastAsiaTheme="minorHAnsi" w:hAnsi="Times New Roman" w:cs="Times New Roman"/>
          <w:sz w:val="22"/>
          <w:szCs w:val="22"/>
        </w:rPr>
      </w:pPr>
      <w:r w:rsidRPr="0024581C">
        <w:rPr>
          <w:rFonts w:ascii="Times New Roman" w:eastAsiaTheme="minorHAnsi" w:hAnsi="Times New Roman" w:cs="Times New Roman"/>
          <w:sz w:val="22"/>
          <w:szCs w:val="22"/>
          <w:u w:val="single"/>
        </w:rPr>
        <w:t>Insert summary here</w:t>
      </w:r>
      <w:r>
        <w:rPr>
          <w:rFonts w:ascii="Times New Roman" w:eastAsiaTheme="minorHAnsi" w:hAnsi="Times New Roman" w:cs="Times New Roman"/>
          <w:sz w:val="22"/>
          <w:szCs w:val="22"/>
        </w:rPr>
        <w:t>.</w:t>
      </w:r>
    </w:p>
    <w:p w14:paraId="082CF4EF" w14:textId="77777777" w:rsidR="007071D6" w:rsidRDefault="007071D6" w:rsidP="00F9727A">
      <w:pPr>
        <w:rPr>
          <w:rFonts w:ascii="Times New Roman" w:eastAsiaTheme="minorHAnsi" w:hAnsi="Times New Roman" w:cs="Times New Roman"/>
          <w:sz w:val="22"/>
          <w:szCs w:val="22"/>
        </w:rPr>
      </w:pPr>
    </w:p>
    <w:p w14:paraId="5EA92EA5" w14:textId="452DC6B5" w:rsidR="00ED7F8D" w:rsidRDefault="000E4223" w:rsidP="00F9727A">
      <w:pPr>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Note that this case is similar to a case reported in the </w:t>
      </w:r>
      <w:r w:rsidR="007071D6">
        <w:rPr>
          <w:rFonts w:ascii="Times New Roman" w:eastAsiaTheme="minorHAnsi" w:hAnsi="Times New Roman" w:cs="Times New Roman"/>
          <w:sz w:val="22"/>
          <w:szCs w:val="22"/>
        </w:rPr>
        <w:t xml:space="preserve">November 2, </w:t>
      </w:r>
      <w:r>
        <w:rPr>
          <w:rFonts w:ascii="Times New Roman" w:eastAsiaTheme="minorHAnsi" w:hAnsi="Times New Roman" w:cs="Times New Roman"/>
          <w:sz w:val="22"/>
          <w:szCs w:val="22"/>
        </w:rPr>
        <w:t xml:space="preserve">2020 Judicial Committee Report titled </w:t>
      </w:r>
      <w:r w:rsidRPr="007071D6">
        <w:rPr>
          <w:rFonts w:ascii="Times New Roman" w:eastAsiaTheme="minorHAnsi" w:hAnsi="Times New Roman" w:cs="Times New Roman"/>
          <w:i/>
          <w:iCs/>
          <w:sz w:val="22"/>
          <w:szCs w:val="22"/>
        </w:rPr>
        <w:t>Neighbor, et al. v. King County</w:t>
      </w:r>
      <w:r>
        <w:rPr>
          <w:rFonts w:ascii="Times New Roman" w:eastAsiaTheme="minorHAnsi" w:hAnsi="Times New Roman" w:cs="Times New Roman"/>
          <w:sz w:val="22"/>
          <w:szCs w:val="22"/>
        </w:rPr>
        <w:t>, 15 Wash.App.2d (2020)</w:t>
      </w:r>
      <w:r w:rsidR="007071D6">
        <w:rPr>
          <w:rFonts w:ascii="Times New Roman" w:eastAsiaTheme="minorHAnsi" w:hAnsi="Times New Roman" w:cs="Times New Roman"/>
          <w:sz w:val="22"/>
          <w:szCs w:val="22"/>
        </w:rPr>
        <w:t>,</w:t>
      </w:r>
      <w:r>
        <w:rPr>
          <w:rFonts w:ascii="Times New Roman" w:eastAsiaTheme="minorHAnsi" w:hAnsi="Times New Roman" w:cs="Times New Roman"/>
          <w:sz w:val="22"/>
          <w:szCs w:val="22"/>
        </w:rPr>
        <w:t xml:space="preserve"> wherein the appellate court affirmed</w:t>
      </w:r>
      <w:r w:rsidR="007071D6">
        <w:rPr>
          <w:rFonts w:ascii="Times New Roman" w:eastAsiaTheme="minorHAnsi" w:hAnsi="Times New Roman" w:cs="Times New Roman"/>
          <w:sz w:val="22"/>
          <w:szCs w:val="22"/>
        </w:rPr>
        <w:t xml:space="preserve"> the lower court’s finding that the County owned the 100-foot corridor along Lake Sammamish that it had turned into a public trail.  The abutting landowners’ claims that the corridor was much less than 100 feet wide and that they (landowners) owned portions of it based on adverse possession were defeated.    </w:t>
      </w:r>
      <w:r>
        <w:rPr>
          <w:rFonts w:ascii="Times New Roman" w:eastAsiaTheme="minorHAnsi" w:hAnsi="Times New Roman" w:cs="Times New Roman"/>
          <w:sz w:val="22"/>
          <w:szCs w:val="22"/>
        </w:rPr>
        <w:t xml:space="preserve"> </w:t>
      </w:r>
      <w:r w:rsidR="00F9727A">
        <w:rPr>
          <w:rFonts w:ascii="Times New Roman" w:eastAsiaTheme="minorHAnsi" w:hAnsi="Times New Roman" w:cs="Times New Roman"/>
          <w:sz w:val="22"/>
          <w:szCs w:val="22"/>
        </w:rPr>
        <w:t xml:space="preserve"> </w:t>
      </w:r>
    </w:p>
    <w:p w14:paraId="1A794C49" w14:textId="77777777" w:rsidR="00ED7F8D" w:rsidRDefault="00ED7F8D" w:rsidP="00ED7F8D">
      <w:pPr>
        <w:rPr>
          <w:rFonts w:ascii="Times New Roman" w:eastAsiaTheme="minorHAnsi" w:hAnsi="Times New Roman" w:cs="Times New Roman"/>
          <w:sz w:val="22"/>
          <w:szCs w:val="22"/>
        </w:rPr>
      </w:pPr>
    </w:p>
    <w:sectPr w:rsidR="00ED7F8D" w:rsidSect="001C66AB">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07F1C" w14:textId="77777777" w:rsidR="00063DF5" w:rsidRDefault="00063DF5" w:rsidP="002371CE">
      <w:r>
        <w:separator/>
      </w:r>
    </w:p>
  </w:endnote>
  <w:endnote w:type="continuationSeparator" w:id="0">
    <w:p w14:paraId="2A1D72B8" w14:textId="77777777" w:rsidR="00063DF5" w:rsidRDefault="00063DF5" w:rsidP="00237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ntique Olv (W1)">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6AEDA" w14:textId="77777777" w:rsidR="00063DF5" w:rsidRDefault="00063DF5" w:rsidP="002371CE">
      <w:r>
        <w:separator/>
      </w:r>
    </w:p>
  </w:footnote>
  <w:footnote w:type="continuationSeparator" w:id="0">
    <w:p w14:paraId="6FCA2017" w14:textId="77777777" w:rsidR="00063DF5" w:rsidRDefault="00063DF5" w:rsidP="00237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565053097"/>
      <w:docPartObj>
        <w:docPartGallery w:val="Page Numbers (Top of Page)"/>
        <w:docPartUnique/>
      </w:docPartObj>
    </w:sdtPr>
    <w:sdtEndPr>
      <w:rPr>
        <w:sz w:val="20"/>
      </w:rPr>
    </w:sdtEndPr>
    <w:sdtContent>
      <w:p w14:paraId="10EA460D" w14:textId="3AA1E00B" w:rsidR="000773C0" w:rsidRPr="002C6D82" w:rsidRDefault="002C6D82">
        <w:pPr>
          <w:pStyle w:val="Header"/>
          <w:rPr>
            <w:rFonts w:ascii="Times New Roman" w:hAnsi="Times New Roman" w:cs="Times New Roman"/>
          </w:rPr>
        </w:pPr>
        <w:r w:rsidRPr="002C6D82">
          <w:rPr>
            <w:rFonts w:ascii="Times New Roman" w:hAnsi="Times New Roman" w:cs="Times New Roman"/>
          </w:rPr>
          <w:t>WLTA Judicial Committee Report</w:t>
        </w:r>
      </w:p>
      <w:p w14:paraId="068E2D87" w14:textId="77777777" w:rsidR="000773C0" w:rsidRPr="00413032" w:rsidRDefault="000773C0">
        <w:pPr>
          <w:pStyle w:val="Header"/>
          <w:rPr>
            <w:rFonts w:ascii="Times New Roman" w:hAnsi="Times New Roman" w:cs="Times New Roman"/>
            <w:sz w:val="24"/>
            <w:szCs w:val="24"/>
          </w:rPr>
        </w:pPr>
        <w:r w:rsidRPr="00413032">
          <w:rPr>
            <w:rFonts w:ascii="Times New Roman" w:hAnsi="Times New Roman" w:cs="Times New Roman"/>
            <w:sz w:val="20"/>
            <w:szCs w:val="24"/>
          </w:rPr>
          <w:t xml:space="preserve">Page </w:t>
        </w:r>
        <w:r w:rsidRPr="00413032">
          <w:rPr>
            <w:rFonts w:ascii="Times New Roman" w:hAnsi="Times New Roman" w:cs="Times New Roman"/>
            <w:sz w:val="20"/>
            <w:szCs w:val="24"/>
          </w:rPr>
          <w:fldChar w:fldCharType="begin"/>
        </w:r>
        <w:r w:rsidRPr="00413032">
          <w:rPr>
            <w:rFonts w:ascii="Times New Roman" w:hAnsi="Times New Roman" w:cs="Times New Roman"/>
            <w:sz w:val="20"/>
            <w:szCs w:val="24"/>
          </w:rPr>
          <w:instrText xml:space="preserve"> PAGE </w:instrText>
        </w:r>
        <w:r w:rsidRPr="00413032">
          <w:rPr>
            <w:rFonts w:ascii="Times New Roman" w:hAnsi="Times New Roman" w:cs="Times New Roman"/>
            <w:sz w:val="20"/>
            <w:szCs w:val="24"/>
          </w:rPr>
          <w:fldChar w:fldCharType="separate"/>
        </w:r>
        <w:r w:rsidR="00AA5424" w:rsidRPr="00413032">
          <w:rPr>
            <w:rFonts w:ascii="Times New Roman" w:hAnsi="Times New Roman" w:cs="Times New Roman"/>
            <w:noProof/>
            <w:sz w:val="20"/>
            <w:szCs w:val="24"/>
          </w:rPr>
          <w:t>2</w:t>
        </w:r>
        <w:r w:rsidRPr="00413032">
          <w:rPr>
            <w:rFonts w:ascii="Times New Roman" w:hAnsi="Times New Roman" w:cs="Times New Roman"/>
            <w:sz w:val="20"/>
            <w:szCs w:val="24"/>
          </w:rPr>
          <w:fldChar w:fldCharType="end"/>
        </w:r>
        <w:r w:rsidRPr="00413032">
          <w:rPr>
            <w:rFonts w:ascii="Times New Roman" w:hAnsi="Times New Roman" w:cs="Times New Roman"/>
            <w:sz w:val="20"/>
            <w:szCs w:val="24"/>
          </w:rPr>
          <w:t xml:space="preserve"> of </w:t>
        </w:r>
        <w:r w:rsidRPr="00413032">
          <w:rPr>
            <w:rFonts w:ascii="Times New Roman" w:hAnsi="Times New Roman" w:cs="Times New Roman"/>
            <w:sz w:val="20"/>
            <w:szCs w:val="24"/>
          </w:rPr>
          <w:fldChar w:fldCharType="begin"/>
        </w:r>
        <w:r w:rsidRPr="00413032">
          <w:rPr>
            <w:rFonts w:ascii="Times New Roman" w:hAnsi="Times New Roman" w:cs="Times New Roman"/>
            <w:sz w:val="20"/>
            <w:szCs w:val="24"/>
          </w:rPr>
          <w:instrText xml:space="preserve"> NUMPAGES  </w:instrText>
        </w:r>
        <w:r w:rsidRPr="00413032">
          <w:rPr>
            <w:rFonts w:ascii="Times New Roman" w:hAnsi="Times New Roman" w:cs="Times New Roman"/>
            <w:sz w:val="20"/>
            <w:szCs w:val="24"/>
          </w:rPr>
          <w:fldChar w:fldCharType="separate"/>
        </w:r>
        <w:r w:rsidR="006478E0" w:rsidRPr="00413032">
          <w:rPr>
            <w:rFonts w:ascii="Times New Roman" w:hAnsi="Times New Roman" w:cs="Times New Roman"/>
            <w:noProof/>
            <w:sz w:val="20"/>
            <w:szCs w:val="24"/>
          </w:rPr>
          <w:t>1</w:t>
        </w:r>
        <w:r w:rsidRPr="00413032">
          <w:rPr>
            <w:rFonts w:ascii="Times New Roman" w:hAnsi="Times New Roman" w:cs="Times New Roman"/>
            <w:sz w:val="20"/>
            <w:szCs w:val="24"/>
          </w:rPr>
          <w:fldChar w:fldCharType="end"/>
        </w:r>
      </w:p>
    </w:sdtContent>
  </w:sdt>
  <w:p w14:paraId="17754E7D" w14:textId="77777777" w:rsidR="000773C0" w:rsidRDefault="000773C0" w:rsidP="001C66AB">
    <w:pPr>
      <w:pStyle w:val="Header"/>
    </w:pPr>
  </w:p>
  <w:p w14:paraId="0A50DEF7" w14:textId="77777777" w:rsidR="000773C0" w:rsidRPr="001C66AB" w:rsidRDefault="000773C0" w:rsidP="001C66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5638D"/>
    <w:multiLevelType w:val="hybridMultilevel"/>
    <w:tmpl w:val="47DAF72E"/>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527D18"/>
    <w:multiLevelType w:val="hybridMultilevel"/>
    <w:tmpl w:val="CB38D27A"/>
    <w:lvl w:ilvl="0" w:tplc="1DFE0E4C">
      <w:start w:val="5"/>
      <w:numFmt w:val="bullet"/>
      <w:lvlText w:val=""/>
      <w:lvlJc w:val="left"/>
      <w:pPr>
        <w:ind w:left="3960" w:hanging="360"/>
      </w:pPr>
      <w:rPr>
        <w:rFonts w:ascii="Symbol" w:eastAsiaTheme="minorEastAsia" w:hAnsi="Symbol"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15:restartNumberingAfterBreak="0">
    <w:nsid w:val="109A07CB"/>
    <w:multiLevelType w:val="hybridMultilevel"/>
    <w:tmpl w:val="55DE8B28"/>
    <w:lvl w:ilvl="0" w:tplc="DD8E468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C322B1"/>
    <w:multiLevelType w:val="hybridMultilevel"/>
    <w:tmpl w:val="343C5902"/>
    <w:lvl w:ilvl="0" w:tplc="E57E9F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660D40"/>
    <w:multiLevelType w:val="hybridMultilevel"/>
    <w:tmpl w:val="E76A4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5810268"/>
    <w:multiLevelType w:val="hybridMultilevel"/>
    <w:tmpl w:val="250E0280"/>
    <w:lvl w:ilvl="0" w:tplc="C63EBF8E">
      <w:start w:val="3"/>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830EB5"/>
    <w:multiLevelType w:val="hybridMultilevel"/>
    <w:tmpl w:val="238E79F4"/>
    <w:lvl w:ilvl="0" w:tplc="217ACDBC">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9984888"/>
    <w:multiLevelType w:val="hybridMultilevel"/>
    <w:tmpl w:val="45DC83BE"/>
    <w:lvl w:ilvl="0" w:tplc="473C5A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A366B7A"/>
    <w:multiLevelType w:val="hybridMultilevel"/>
    <w:tmpl w:val="805CE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8D4CD5"/>
    <w:multiLevelType w:val="hybridMultilevel"/>
    <w:tmpl w:val="D9A078BC"/>
    <w:lvl w:ilvl="0" w:tplc="36164D02">
      <w:start w:val="2"/>
      <w:numFmt w:val="bullet"/>
      <w:lvlText w:val=""/>
      <w:lvlJc w:val="left"/>
      <w:pPr>
        <w:ind w:left="4680" w:hanging="360"/>
      </w:pPr>
      <w:rPr>
        <w:rFonts w:ascii="Symbol" w:eastAsiaTheme="minorHAnsi" w:hAnsi="Symbol"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0" w15:restartNumberingAfterBreak="0">
    <w:nsid w:val="447D36FE"/>
    <w:multiLevelType w:val="hybridMultilevel"/>
    <w:tmpl w:val="4B8A50B6"/>
    <w:lvl w:ilvl="0" w:tplc="665EB8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7193E8A"/>
    <w:multiLevelType w:val="hybridMultilevel"/>
    <w:tmpl w:val="F36C2142"/>
    <w:lvl w:ilvl="0" w:tplc="231C5762">
      <w:start w:val="1"/>
      <w:numFmt w:val="bullet"/>
      <w:lvlText w:val=""/>
      <w:lvlJc w:val="left"/>
      <w:pPr>
        <w:tabs>
          <w:tab w:val="num" w:pos="1800"/>
        </w:tabs>
        <w:ind w:left="1656" w:firstLine="144"/>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7EB11D29"/>
    <w:multiLevelType w:val="hybridMultilevel"/>
    <w:tmpl w:val="667AF128"/>
    <w:lvl w:ilvl="0" w:tplc="71EABDD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6284587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57989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8312005">
    <w:abstractNumId w:val="12"/>
  </w:num>
  <w:num w:numId="4" w16cid:durableId="1174299991">
    <w:abstractNumId w:val="2"/>
  </w:num>
  <w:num w:numId="5" w16cid:durableId="537550646">
    <w:abstractNumId w:val="3"/>
  </w:num>
  <w:num w:numId="6" w16cid:durableId="1975673315">
    <w:abstractNumId w:val="10"/>
  </w:num>
  <w:num w:numId="7" w16cid:durableId="834881172">
    <w:abstractNumId w:val="5"/>
  </w:num>
  <w:num w:numId="8" w16cid:durableId="2034264618">
    <w:abstractNumId w:val="7"/>
  </w:num>
  <w:num w:numId="9" w16cid:durableId="788016796">
    <w:abstractNumId w:val="6"/>
  </w:num>
  <w:num w:numId="10" w16cid:durableId="512650291">
    <w:abstractNumId w:val="1"/>
  </w:num>
  <w:num w:numId="11" w16cid:durableId="1043944176">
    <w:abstractNumId w:val="4"/>
  </w:num>
  <w:num w:numId="12" w16cid:durableId="870608425">
    <w:abstractNumId w:val="9"/>
  </w:num>
  <w:num w:numId="13" w16cid:durableId="21391794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1B1B"/>
    <w:rsid w:val="000053BB"/>
    <w:rsid w:val="00015027"/>
    <w:rsid w:val="00031854"/>
    <w:rsid w:val="00034AF1"/>
    <w:rsid w:val="00034F24"/>
    <w:rsid w:val="00040504"/>
    <w:rsid w:val="00063DF5"/>
    <w:rsid w:val="00076121"/>
    <w:rsid w:val="000763DD"/>
    <w:rsid w:val="000773C0"/>
    <w:rsid w:val="000946C1"/>
    <w:rsid w:val="000A71CC"/>
    <w:rsid w:val="000C27E9"/>
    <w:rsid w:val="000C7671"/>
    <w:rsid w:val="000D16D6"/>
    <w:rsid w:val="000D7DA9"/>
    <w:rsid w:val="000E3817"/>
    <w:rsid w:val="000E4223"/>
    <w:rsid w:val="000F4DDA"/>
    <w:rsid w:val="000F66FD"/>
    <w:rsid w:val="00112265"/>
    <w:rsid w:val="00122BDB"/>
    <w:rsid w:val="00123FE6"/>
    <w:rsid w:val="00137F94"/>
    <w:rsid w:val="00144077"/>
    <w:rsid w:val="00154D91"/>
    <w:rsid w:val="001636D2"/>
    <w:rsid w:val="0018666E"/>
    <w:rsid w:val="001B1496"/>
    <w:rsid w:val="001B59FC"/>
    <w:rsid w:val="001C2F0E"/>
    <w:rsid w:val="001C5793"/>
    <w:rsid w:val="001C66AB"/>
    <w:rsid w:val="001D192F"/>
    <w:rsid w:val="001E44F5"/>
    <w:rsid w:val="001F4C81"/>
    <w:rsid w:val="00201F29"/>
    <w:rsid w:val="00211AC6"/>
    <w:rsid w:val="00234CC8"/>
    <w:rsid w:val="002371CE"/>
    <w:rsid w:val="00243A75"/>
    <w:rsid w:val="0024581C"/>
    <w:rsid w:val="0025600C"/>
    <w:rsid w:val="00264F85"/>
    <w:rsid w:val="00267BCB"/>
    <w:rsid w:val="00274F4B"/>
    <w:rsid w:val="00286961"/>
    <w:rsid w:val="00287F9D"/>
    <w:rsid w:val="002C6D82"/>
    <w:rsid w:val="002E0412"/>
    <w:rsid w:val="002E06F3"/>
    <w:rsid w:val="002E18F2"/>
    <w:rsid w:val="002F195E"/>
    <w:rsid w:val="002F62CB"/>
    <w:rsid w:val="00330DE4"/>
    <w:rsid w:val="00333D06"/>
    <w:rsid w:val="003355A7"/>
    <w:rsid w:val="00342CD5"/>
    <w:rsid w:val="003463B4"/>
    <w:rsid w:val="00357922"/>
    <w:rsid w:val="003672EA"/>
    <w:rsid w:val="00371B1B"/>
    <w:rsid w:val="00385FA1"/>
    <w:rsid w:val="00386FC8"/>
    <w:rsid w:val="003A702B"/>
    <w:rsid w:val="003B22F2"/>
    <w:rsid w:val="003B53F4"/>
    <w:rsid w:val="003C5D16"/>
    <w:rsid w:val="003E3D49"/>
    <w:rsid w:val="0041070B"/>
    <w:rsid w:val="00413032"/>
    <w:rsid w:val="00432F4C"/>
    <w:rsid w:val="0046507A"/>
    <w:rsid w:val="00483D21"/>
    <w:rsid w:val="004A7313"/>
    <w:rsid w:val="004B0EF7"/>
    <w:rsid w:val="004C0BEB"/>
    <w:rsid w:val="004C15A7"/>
    <w:rsid w:val="004C4747"/>
    <w:rsid w:val="004C6E54"/>
    <w:rsid w:val="004D44EB"/>
    <w:rsid w:val="004F1226"/>
    <w:rsid w:val="004F7179"/>
    <w:rsid w:val="004F7CC4"/>
    <w:rsid w:val="00522302"/>
    <w:rsid w:val="0053179F"/>
    <w:rsid w:val="00536B4E"/>
    <w:rsid w:val="00567FE1"/>
    <w:rsid w:val="00591D04"/>
    <w:rsid w:val="005B1DE5"/>
    <w:rsid w:val="005B4C8F"/>
    <w:rsid w:val="005C5C0E"/>
    <w:rsid w:val="005D580F"/>
    <w:rsid w:val="005E46F0"/>
    <w:rsid w:val="005F05AA"/>
    <w:rsid w:val="00603869"/>
    <w:rsid w:val="00607B01"/>
    <w:rsid w:val="006348BD"/>
    <w:rsid w:val="00645960"/>
    <w:rsid w:val="006478E0"/>
    <w:rsid w:val="0065017E"/>
    <w:rsid w:val="00665A7D"/>
    <w:rsid w:val="00667B08"/>
    <w:rsid w:val="0067000E"/>
    <w:rsid w:val="00670BD4"/>
    <w:rsid w:val="00682597"/>
    <w:rsid w:val="00684A6D"/>
    <w:rsid w:val="006903A9"/>
    <w:rsid w:val="006A1CDD"/>
    <w:rsid w:val="006A553F"/>
    <w:rsid w:val="006B3072"/>
    <w:rsid w:val="006C083D"/>
    <w:rsid w:val="006C2EB1"/>
    <w:rsid w:val="006E078E"/>
    <w:rsid w:val="006F1291"/>
    <w:rsid w:val="006F3F3F"/>
    <w:rsid w:val="006F6374"/>
    <w:rsid w:val="00700F4F"/>
    <w:rsid w:val="00701833"/>
    <w:rsid w:val="007071D6"/>
    <w:rsid w:val="00733DC5"/>
    <w:rsid w:val="00761946"/>
    <w:rsid w:val="007766DA"/>
    <w:rsid w:val="00777555"/>
    <w:rsid w:val="00777759"/>
    <w:rsid w:val="00792F16"/>
    <w:rsid w:val="007B5510"/>
    <w:rsid w:val="007D37F9"/>
    <w:rsid w:val="00801CEC"/>
    <w:rsid w:val="0080474C"/>
    <w:rsid w:val="00806037"/>
    <w:rsid w:val="00833709"/>
    <w:rsid w:val="008537A9"/>
    <w:rsid w:val="0085713B"/>
    <w:rsid w:val="008674DF"/>
    <w:rsid w:val="008735FB"/>
    <w:rsid w:val="00874DFB"/>
    <w:rsid w:val="00880E34"/>
    <w:rsid w:val="00897DBF"/>
    <w:rsid w:val="008A071D"/>
    <w:rsid w:val="008A42CA"/>
    <w:rsid w:val="008B57E3"/>
    <w:rsid w:val="008B60D0"/>
    <w:rsid w:val="008B66B6"/>
    <w:rsid w:val="008C2579"/>
    <w:rsid w:val="008C70D0"/>
    <w:rsid w:val="008D21C9"/>
    <w:rsid w:val="008E4646"/>
    <w:rsid w:val="008F694B"/>
    <w:rsid w:val="009111BA"/>
    <w:rsid w:val="00926A3F"/>
    <w:rsid w:val="00936075"/>
    <w:rsid w:val="00950F8C"/>
    <w:rsid w:val="00992696"/>
    <w:rsid w:val="009947C8"/>
    <w:rsid w:val="009A14DA"/>
    <w:rsid w:val="009A6F1D"/>
    <w:rsid w:val="009B6471"/>
    <w:rsid w:val="009D21E9"/>
    <w:rsid w:val="009E34EE"/>
    <w:rsid w:val="009F1301"/>
    <w:rsid w:val="009F31E6"/>
    <w:rsid w:val="009F58FF"/>
    <w:rsid w:val="00A0275E"/>
    <w:rsid w:val="00A042B6"/>
    <w:rsid w:val="00A05286"/>
    <w:rsid w:val="00A14427"/>
    <w:rsid w:val="00A25842"/>
    <w:rsid w:val="00A40627"/>
    <w:rsid w:val="00A57CD8"/>
    <w:rsid w:val="00A977C6"/>
    <w:rsid w:val="00AA5424"/>
    <w:rsid w:val="00AA59CA"/>
    <w:rsid w:val="00AC5AF5"/>
    <w:rsid w:val="00AC6CDF"/>
    <w:rsid w:val="00AC7338"/>
    <w:rsid w:val="00AD2D18"/>
    <w:rsid w:val="00AD3B95"/>
    <w:rsid w:val="00AF0336"/>
    <w:rsid w:val="00AF1177"/>
    <w:rsid w:val="00AF380D"/>
    <w:rsid w:val="00AF5A97"/>
    <w:rsid w:val="00AF68CD"/>
    <w:rsid w:val="00B029B0"/>
    <w:rsid w:val="00B11A5F"/>
    <w:rsid w:val="00B14D25"/>
    <w:rsid w:val="00B44C2F"/>
    <w:rsid w:val="00B458FE"/>
    <w:rsid w:val="00B465C4"/>
    <w:rsid w:val="00B50AC7"/>
    <w:rsid w:val="00B54D76"/>
    <w:rsid w:val="00B76783"/>
    <w:rsid w:val="00B81A15"/>
    <w:rsid w:val="00B85F63"/>
    <w:rsid w:val="00B922D3"/>
    <w:rsid w:val="00BA3C28"/>
    <w:rsid w:val="00BB0009"/>
    <w:rsid w:val="00BB65CA"/>
    <w:rsid w:val="00BC4D2F"/>
    <w:rsid w:val="00BC69C3"/>
    <w:rsid w:val="00BD0B40"/>
    <w:rsid w:val="00BF04A4"/>
    <w:rsid w:val="00BF5F29"/>
    <w:rsid w:val="00C21BDC"/>
    <w:rsid w:val="00C2657B"/>
    <w:rsid w:val="00C275FD"/>
    <w:rsid w:val="00C334E1"/>
    <w:rsid w:val="00C346FB"/>
    <w:rsid w:val="00C376FC"/>
    <w:rsid w:val="00C45681"/>
    <w:rsid w:val="00C51759"/>
    <w:rsid w:val="00C52F14"/>
    <w:rsid w:val="00C62423"/>
    <w:rsid w:val="00C758EC"/>
    <w:rsid w:val="00C83628"/>
    <w:rsid w:val="00CA119F"/>
    <w:rsid w:val="00CB1936"/>
    <w:rsid w:val="00CB5E74"/>
    <w:rsid w:val="00CB7B29"/>
    <w:rsid w:val="00CB7B80"/>
    <w:rsid w:val="00CD67F2"/>
    <w:rsid w:val="00CE0A7A"/>
    <w:rsid w:val="00CF7B73"/>
    <w:rsid w:val="00D05299"/>
    <w:rsid w:val="00D24738"/>
    <w:rsid w:val="00D26126"/>
    <w:rsid w:val="00D327CC"/>
    <w:rsid w:val="00D33225"/>
    <w:rsid w:val="00D41E08"/>
    <w:rsid w:val="00D44A9B"/>
    <w:rsid w:val="00D51B09"/>
    <w:rsid w:val="00D52BFE"/>
    <w:rsid w:val="00D714CF"/>
    <w:rsid w:val="00D82E65"/>
    <w:rsid w:val="00D9263B"/>
    <w:rsid w:val="00D933BB"/>
    <w:rsid w:val="00DA4750"/>
    <w:rsid w:val="00DA560B"/>
    <w:rsid w:val="00DC0842"/>
    <w:rsid w:val="00DD3F52"/>
    <w:rsid w:val="00DD4DE1"/>
    <w:rsid w:val="00DE32F5"/>
    <w:rsid w:val="00DF63E7"/>
    <w:rsid w:val="00DF6D9F"/>
    <w:rsid w:val="00E0564F"/>
    <w:rsid w:val="00E23457"/>
    <w:rsid w:val="00E25E83"/>
    <w:rsid w:val="00E31224"/>
    <w:rsid w:val="00E5122C"/>
    <w:rsid w:val="00E5127B"/>
    <w:rsid w:val="00E600B1"/>
    <w:rsid w:val="00E65619"/>
    <w:rsid w:val="00E851A0"/>
    <w:rsid w:val="00E87AB8"/>
    <w:rsid w:val="00E933EF"/>
    <w:rsid w:val="00E9796A"/>
    <w:rsid w:val="00EC357F"/>
    <w:rsid w:val="00EC3C26"/>
    <w:rsid w:val="00ED05D1"/>
    <w:rsid w:val="00ED2182"/>
    <w:rsid w:val="00ED7F8D"/>
    <w:rsid w:val="00EE3552"/>
    <w:rsid w:val="00EE68B4"/>
    <w:rsid w:val="00EF1BA0"/>
    <w:rsid w:val="00F03DDD"/>
    <w:rsid w:val="00F056C5"/>
    <w:rsid w:val="00F11403"/>
    <w:rsid w:val="00F163D4"/>
    <w:rsid w:val="00F307F8"/>
    <w:rsid w:val="00F351EA"/>
    <w:rsid w:val="00F43A8C"/>
    <w:rsid w:val="00F750F8"/>
    <w:rsid w:val="00F91AD7"/>
    <w:rsid w:val="00F9365E"/>
    <w:rsid w:val="00F9727A"/>
    <w:rsid w:val="00F974D0"/>
    <w:rsid w:val="00FB0E73"/>
    <w:rsid w:val="00FC669D"/>
    <w:rsid w:val="00FC75C1"/>
    <w:rsid w:val="00FE4BC5"/>
    <w:rsid w:val="00FF3DFE"/>
    <w:rsid w:val="00FF5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01256E"/>
  <w15:docId w15:val="{BD7477C7-628D-480B-90BA-AF1D222AE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6FD"/>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71CE"/>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371CE"/>
    <w:rPr>
      <w:rFonts w:ascii="Tahoma" w:hAnsi="Tahoma" w:cs="Tahoma"/>
      <w:sz w:val="16"/>
      <w:szCs w:val="16"/>
    </w:rPr>
  </w:style>
  <w:style w:type="paragraph" w:styleId="Header">
    <w:name w:val="header"/>
    <w:basedOn w:val="Normal"/>
    <w:link w:val="HeaderChar"/>
    <w:uiPriority w:val="99"/>
    <w:unhideWhenUsed/>
    <w:rsid w:val="002371CE"/>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2371CE"/>
  </w:style>
  <w:style w:type="paragraph" w:styleId="Footer">
    <w:name w:val="footer"/>
    <w:basedOn w:val="Normal"/>
    <w:link w:val="FooterChar"/>
    <w:uiPriority w:val="99"/>
    <w:unhideWhenUsed/>
    <w:rsid w:val="002371CE"/>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2371CE"/>
  </w:style>
  <w:style w:type="paragraph" w:styleId="BodyTextIndent">
    <w:name w:val="Body Text Indent"/>
    <w:basedOn w:val="Normal"/>
    <w:link w:val="BodyTextIndentChar"/>
    <w:unhideWhenUsed/>
    <w:rsid w:val="009947C8"/>
    <w:pPr>
      <w:ind w:firstLine="720"/>
    </w:pPr>
    <w:rPr>
      <w:rFonts w:ascii="Arial" w:eastAsia="Times New Roman" w:hAnsi="Arial" w:cs="Times New Roman"/>
      <w:noProof/>
      <w:szCs w:val="20"/>
    </w:rPr>
  </w:style>
  <w:style w:type="character" w:customStyle="1" w:styleId="BodyTextIndentChar">
    <w:name w:val="Body Text Indent Char"/>
    <w:basedOn w:val="DefaultParagraphFont"/>
    <w:link w:val="BodyTextIndent"/>
    <w:rsid w:val="009947C8"/>
    <w:rPr>
      <w:rFonts w:ascii="Arial" w:eastAsia="Times New Roman" w:hAnsi="Arial" w:cs="Times New Roman"/>
      <w:noProof/>
      <w:sz w:val="24"/>
      <w:szCs w:val="20"/>
    </w:rPr>
  </w:style>
  <w:style w:type="paragraph" w:styleId="BodyTextIndent2">
    <w:name w:val="Body Text Indent 2"/>
    <w:basedOn w:val="Normal"/>
    <w:link w:val="BodyTextIndent2Char"/>
    <w:semiHidden/>
    <w:unhideWhenUsed/>
    <w:rsid w:val="009947C8"/>
    <w:pPr>
      <w:spacing w:after="120" w:line="480" w:lineRule="auto"/>
      <w:ind w:left="360"/>
    </w:pPr>
    <w:rPr>
      <w:rFonts w:ascii="Antique Olv (W1)" w:eastAsia="Times New Roman" w:hAnsi="Antique Olv (W1)" w:cs="Times New Roman"/>
      <w:szCs w:val="20"/>
    </w:rPr>
  </w:style>
  <w:style w:type="character" w:customStyle="1" w:styleId="BodyTextIndent2Char">
    <w:name w:val="Body Text Indent 2 Char"/>
    <w:basedOn w:val="DefaultParagraphFont"/>
    <w:link w:val="BodyTextIndent2"/>
    <w:semiHidden/>
    <w:rsid w:val="009947C8"/>
    <w:rPr>
      <w:rFonts w:ascii="Antique Olv (W1)" w:eastAsia="Times New Roman" w:hAnsi="Antique Olv (W1)" w:cs="Times New Roman"/>
      <w:sz w:val="24"/>
      <w:szCs w:val="20"/>
    </w:rPr>
  </w:style>
  <w:style w:type="paragraph" w:styleId="BlockText">
    <w:name w:val="Block Text"/>
    <w:basedOn w:val="Normal"/>
    <w:unhideWhenUsed/>
    <w:rsid w:val="009947C8"/>
    <w:pPr>
      <w:ind w:left="720" w:right="720"/>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2F195E"/>
    <w:rPr>
      <w:sz w:val="20"/>
      <w:szCs w:val="20"/>
    </w:rPr>
  </w:style>
  <w:style w:type="character" w:customStyle="1" w:styleId="FootnoteTextChar">
    <w:name w:val="Footnote Text Char"/>
    <w:basedOn w:val="DefaultParagraphFont"/>
    <w:link w:val="FootnoteText"/>
    <w:uiPriority w:val="99"/>
    <w:semiHidden/>
    <w:rsid w:val="002F195E"/>
    <w:rPr>
      <w:rFonts w:eastAsiaTheme="minorEastAsia"/>
      <w:sz w:val="20"/>
      <w:szCs w:val="20"/>
    </w:rPr>
  </w:style>
  <w:style w:type="character" w:styleId="FootnoteReference">
    <w:name w:val="footnote reference"/>
    <w:basedOn w:val="DefaultParagraphFont"/>
    <w:uiPriority w:val="99"/>
    <w:semiHidden/>
    <w:unhideWhenUsed/>
    <w:rsid w:val="002F195E"/>
    <w:rPr>
      <w:vertAlign w:val="superscript"/>
    </w:rPr>
  </w:style>
  <w:style w:type="paragraph" w:styleId="ListParagraph">
    <w:name w:val="List Paragraph"/>
    <w:basedOn w:val="Normal"/>
    <w:uiPriority w:val="34"/>
    <w:qFormat/>
    <w:rsid w:val="0025600C"/>
    <w:pPr>
      <w:ind w:left="720"/>
      <w:contextualSpacing/>
    </w:pPr>
  </w:style>
  <w:style w:type="character" w:styleId="Hyperlink">
    <w:name w:val="Hyperlink"/>
    <w:basedOn w:val="DefaultParagraphFont"/>
    <w:uiPriority w:val="99"/>
    <w:unhideWhenUsed/>
    <w:rsid w:val="003B22F2"/>
    <w:rPr>
      <w:color w:val="0000FF" w:themeColor="hyperlink"/>
      <w:u w:val="single"/>
    </w:rPr>
  </w:style>
  <w:style w:type="paragraph" w:styleId="BodyText">
    <w:name w:val="Body Text"/>
    <w:basedOn w:val="Normal"/>
    <w:link w:val="BodyTextChar"/>
    <w:uiPriority w:val="99"/>
    <w:semiHidden/>
    <w:unhideWhenUsed/>
    <w:rsid w:val="00AD2D18"/>
    <w:pPr>
      <w:spacing w:after="120"/>
    </w:pPr>
  </w:style>
  <w:style w:type="character" w:customStyle="1" w:styleId="BodyTextChar">
    <w:name w:val="Body Text Char"/>
    <w:basedOn w:val="DefaultParagraphFont"/>
    <w:link w:val="BodyText"/>
    <w:uiPriority w:val="99"/>
    <w:semiHidden/>
    <w:rsid w:val="00AD2D18"/>
    <w:rPr>
      <w:rFonts w:eastAsiaTheme="minorEastAsia"/>
      <w:sz w:val="24"/>
      <w:szCs w:val="24"/>
    </w:rPr>
  </w:style>
  <w:style w:type="paragraph" w:styleId="Title">
    <w:name w:val="Title"/>
    <w:basedOn w:val="Normal"/>
    <w:link w:val="TitleChar"/>
    <w:uiPriority w:val="10"/>
    <w:qFormat/>
    <w:rsid w:val="001F4C81"/>
    <w:pPr>
      <w:jc w:val="center"/>
    </w:pPr>
    <w:rPr>
      <w:rFonts w:ascii="Times New Roman" w:eastAsia="Times New Roman" w:hAnsi="Times New Roman" w:cs="Times New Roman"/>
      <w:b/>
      <w:bCs/>
    </w:rPr>
  </w:style>
  <w:style w:type="character" w:customStyle="1" w:styleId="TitleChar">
    <w:name w:val="Title Char"/>
    <w:basedOn w:val="DefaultParagraphFont"/>
    <w:link w:val="Title"/>
    <w:uiPriority w:val="10"/>
    <w:rsid w:val="001F4C81"/>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2C6D8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7637">
      <w:bodyDiv w:val="1"/>
      <w:marLeft w:val="0"/>
      <w:marRight w:val="0"/>
      <w:marTop w:val="0"/>
      <w:marBottom w:val="0"/>
      <w:divBdr>
        <w:top w:val="none" w:sz="0" w:space="0" w:color="auto"/>
        <w:left w:val="none" w:sz="0" w:space="0" w:color="auto"/>
        <w:bottom w:val="none" w:sz="0" w:space="0" w:color="auto"/>
        <w:right w:val="none" w:sz="0" w:space="0" w:color="auto"/>
      </w:divBdr>
    </w:div>
    <w:div w:id="782530354">
      <w:bodyDiv w:val="1"/>
      <w:marLeft w:val="0"/>
      <w:marRight w:val="0"/>
      <w:marTop w:val="0"/>
      <w:marBottom w:val="0"/>
      <w:divBdr>
        <w:top w:val="none" w:sz="0" w:space="0" w:color="auto"/>
        <w:left w:val="none" w:sz="0" w:space="0" w:color="auto"/>
        <w:bottom w:val="none" w:sz="0" w:space="0" w:color="auto"/>
        <w:right w:val="none" w:sz="0" w:space="0" w:color="auto"/>
      </w:divBdr>
    </w:div>
    <w:div w:id="1237858170">
      <w:bodyDiv w:val="1"/>
      <w:marLeft w:val="0"/>
      <w:marRight w:val="0"/>
      <w:marTop w:val="0"/>
      <w:marBottom w:val="0"/>
      <w:divBdr>
        <w:top w:val="none" w:sz="0" w:space="0" w:color="auto"/>
        <w:left w:val="none" w:sz="0" w:space="0" w:color="auto"/>
        <w:bottom w:val="none" w:sz="0" w:space="0" w:color="auto"/>
        <w:right w:val="none" w:sz="0" w:space="0" w:color="auto"/>
      </w:divBdr>
    </w:div>
    <w:div w:id="1898272748">
      <w:bodyDiv w:val="1"/>
      <w:marLeft w:val="0"/>
      <w:marRight w:val="0"/>
      <w:marTop w:val="0"/>
      <w:marBottom w:val="0"/>
      <w:divBdr>
        <w:top w:val="none" w:sz="0" w:space="0" w:color="auto"/>
        <w:left w:val="none" w:sz="0" w:space="0" w:color="auto"/>
        <w:bottom w:val="none" w:sz="0" w:space="0" w:color="auto"/>
        <w:right w:val="none" w:sz="0" w:space="0" w:color="auto"/>
      </w:divBdr>
    </w:div>
    <w:div w:id="203017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526CCE-CA5F-43BB-B25E-E257039C2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OrgName</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AKamian</dc:creator>
  <cp:lastModifiedBy>Callahan, Ashley</cp:lastModifiedBy>
  <cp:revision>5</cp:revision>
  <cp:lastPrinted>2018-05-02T00:52:00Z</cp:lastPrinted>
  <dcterms:created xsi:type="dcterms:W3CDTF">2024-01-29T00:49:00Z</dcterms:created>
  <dcterms:modified xsi:type="dcterms:W3CDTF">2024-01-29T01:44:00Z</dcterms:modified>
</cp:coreProperties>
</file>